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28" w:rsidRDefault="00FE6128" w:rsidP="00FE6128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重</w:t>
      </w:r>
      <w:r>
        <w:rPr>
          <w:rFonts w:eastAsia="方正小标宋简体" w:cs="Times New Roman"/>
          <w:color w:val="000000" w:themeColor="text1"/>
          <w:kern w:val="0"/>
          <w:sz w:val="44"/>
          <w:szCs w:val="44"/>
        </w:rPr>
        <w:t>2019N012</w:t>
      </w:r>
      <w:r>
        <w:rPr>
          <w:rFonts w:eastAsia="方正小标宋简体" w:cs="Times New Roman"/>
          <w:sz w:val="44"/>
          <w:szCs w:val="44"/>
        </w:rPr>
        <w:t xml:space="preserve"> 5G</w:t>
      </w:r>
      <w:r>
        <w:rPr>
          <w:rFonts w:eastAsia="方正小标宋简体" w:cs="Times New Roman"/>
          <w:sz w:val="44"/>
          <w:szCs w:val="44"/>
        </w:rPr>
        <w:t>通信基站用</w:t>
      </w:r>
      <w:proofErr w:type="gramStart"/>
      <w:r>
        <w:rPr>
          <w:rFonts w:eastAsia="方正小标宋简体" w:cs="Times New Roman"/>
          <w:sz w:val="44"/>
          <w:szCs w:val="44"/>
        </w:rPr>
        <w:t>介</w:t>
      </w:r>
      <w:proofErr w:type="gramEnd"/>
      <w:r>
        <w:rPr>
          <w:rFonts w:eastAsia="方正小标宋简体" w:cs="Times New Roman"/>
          <w:sz w:val="44"/>
          <w:szCs w:val="44"/>
        </w:rPr>
        <w:t>电材料</w:t>
      </w:r>
    </w:p>
    <w:p w:rsidR="00FE6128" w:rsidRDefault="00FE6128" w:rsidP="00FE6128">
      <w:pPr>
        <w:ind w:firstLineChars="0" w:firstLine="0"/>
        <w:jc w:val="center"/>
        <w:rPr>
          <w:rFonts w:eastAsia="方正小标宋简体" w:cs="Times New Roman" w:hint="eastAsia"/>
          <w:sz w:val="44"/>
          <w:szCs w:val="44"/>
        </w:rPr>
      </w:pPr>
      <w:r>
        <w:rPr>
          <w:rFonts w:eastAsia="方正小标宋简体" w:cs="Times New Roman"/>
          <w:sz w:val="44"/>
          <w:szCs w:val="44"/>
        </w:rPr>
        <w:t>关键技术研发</w:t>
      </w:r>
    </w:p>
    <w:p w:rsidR="00FE6128" w:rsidRDefault="00FE6128" w:rsidP="00FE6128">
      <w:pPr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bookmarkStart w:id="0" w:name="_GoBack"/>
      <w:bookmarkEnd w:id="0"/>
    </w:p>
    <w:p w:rsidR="00FE6128" w:rsidRDefault="00FE6128" w:rsidP="00FE6128">
      <w:pPr>
        <w:ind w:firstLineChars="0" w:firstLine="0"/>
        <w:rPr>
          <w:rFonts w:cs="Times New Roman"/>
        </w:rPr>
      </w:pPr>
      <w:r>
        <w:rPr>
          <w:rFonts w:cs="Times New Roman"/>
        </w:rPr>
        <w:t>一、领域：新材料技术</w:t>
      </w:r>
      <w:r>
        <w:rPr>
          <w:rFonts w:cs="Times New Roman"/>
        </w:rPr>
        <w:t>—</w:t>
      </w:r>
      <w:r>
        <w:rPr>
          <w:rFonts w:cs="Times New Roman"/>
        </w:rPr>
        <w:t>高分子材料</w:t>
      </w:r>
    </w:p>
    <w:p w:rsidR="00FE6128" w:rsidRDefault="00FE6128" w:rsidP="00FE6128">
      <w:pPr>
        <w:ind w:firstLineChars="0" w:firstLine="0"/>
        <w:rPr>
          <w:rFonts w:cs="Times New Roman"/>
        </w:rPr>
      </w:pPr>
      <w:r>
        <w:rPr>
          <w:rFonts w:cs="Times New Roman"/>
        </w:rPr>
        <w:t>二、主要研发内容：</w:t>
      </w:r>
    </w:p>
    <w:p w:rsidR="00FE6128" w:rsidRDefault="00FE6128" w:rsidP="00FE612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（一）低介电常数聚合物数据库的建立；</w:t>
      </w:r>
    </w:p>
    <w:p w:rsidR="00FE6128" w:rsidRDefault="00FE6128" w:rsidP="00FE612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（二）低介电常数聚合物结构设计及理论研究；</w:t>
      </w:r>
    </w:p>
    <w:p w:rsidR="00FE6128" w:rsidRDefault="00FE6128" w:rsidP="00FE6128">
      <w:pPr>
        <w:ind w:firstLineChars="50" w:firstLine="160"/>
        <w:rPr>
          <w:rFonts w:cs="Times New Roman"/>
        </w:rPr>
      </w:pPr>
      <w:r>
        <w:rPr>
          <w:rFonts w:cs="Times New Roman"/>
        </w:rPr>
        <w:t>（三）低介电常数高分子材料筛选及工艺优化；</w:t>
      </w:r>
    </w:p>
    <w:p w:rsidR="00FE6128" w:rsidRDefault="00FE6128" w:rsidP="00FE6128">
      <w:pPr>
        <w:ind w:leftChars="50" w:left="1120" w:hangingChars="300" w:hanging="960"/>
        <w:rPr>
          <w:rFonts w:cs="Times New Roman"/>
        </w:rPr>
      </w:pPr>
      <w:r>
        <w:rPr>
          <w:rFonts w:cs="Times New Roman"/>
        </w:rPr>
        <w:t>（四）高频环境下的高介电常数稳定性及低介质损耗研究。</w:t>
      </w:r>
    </w:p>
    <w:p w:rsidR="00FE6128" w:rsidRDefault="00FE6128" w:rsidP="00FE6128">
      <w:pPr>
        <w:ind w:firstLineChars="0" w:firstLine="0"/>
        <w:rPr>
          <w:rFonts w:cs="Times New Roman"/>
        </w:rPr>
      </w:pPr>
      <w:r>
        <w:rPr>
          <w:rFonts w:cs="Times New Roman"/>
        </w:rPr>
        <w:t>三、项目考核指标（项目执行期内）</w:t>
      </w:r>
    </w:p>
    <w:p w:rsidR="00FE6128" w:rsidRDefault="00FE6128" w:rsidP="00FE6128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（一）经济指标：实现销售收入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3</w:t>
      </w:r>
      <w:r>
        <w:rPr>
          <w:rFonts w:cs="Times New Roman"/>
          <w:color w:val="000000" w:themeColor="text1"/>
        </w:rPr>
        <w:t>000</w:t>
      </w:r>
      <w:r>
        <w:rPr>
          <w:rFonts w:cs="Times New Roman"/>
          <w:color w:val="000000" w:themeColor="text1"/>
        </w:rPr>
        <w:t>万元。</w:t>
      </w:r>
    </w:p>
    <w:p w:rsidR="00FE6128" w:rsidRDefault="00FE6128" w:rsidP="00FE6128">
      <w:pPr>
        <w:ind w:firstLineChars="50" w:firstLine="16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（二）学术指标：申请专利</w:t>
      </w:r>
      <w:r>
        <w:rPr>
          <w:rFonts w:hint="eastAsia"/>
          <w:color w:val="000000" w:themeColor="text1"/>
        </w:rPr>
        <w:t>≥</w:t>
      </w:r>
      <w:r>
        <w:rPr>
          <w:rFonts w:cs="Times New Roman" w:hint="eastAsia"/>
          <w:color w:val="000000" w:themeColor="text1"/>
        </w:rPr>
        <w:t>8</w:t>
      </w:r>
      <w:r>
        <w:rPr>
          <w:rFonts w:cs="Times New Roman"/>
          <w:color w:val="000000" w:themeColor="text1"/>
        </w:rPr>
        <w:t>件，其中发明专利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</w:rPr>
        <w:t>5</w:t>
      </w:r>
      <w:r>
        <w:rPr>
          <w:rFonts w:cs="Times New Roman"/>
          <w:color w:val="000000" w:themeColor="text1"/>
        </w:rPr>
        <w:t>件。</w:t>
      </w:r>
    </w:p>
    <w:p w:rsidR="00FE6128" w:rsidRDefault="00FE6128" w:rsidP="00FE6128">
      <w:pPr>
        <w:ind w:firstLineChars="50" w:firstLine="160"/>
        <w:rPr>
          <w:rFonts w:cs="Times New Roman"/>
        </w:rPr>
      </w:pPr>
      <w:r>
        <w:rPr>
          <w:rFonts w:cs="Times New Roman"/>
        </w:rPr>
        <w:t>（三）技术指标：</w:t>
      </w:r>
    </w:p>
    <w:p w:rsidR="00FE6128" w:rsidRDefault="00FE6128" w:rsidP="00FE6128">
      <w:pPr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悬臂梁缺口冲击：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  <w:kern w:val="0"/>
        </w:rPr>
        <w:t>14</w:t>
      </w:r>
      <w:r>
        <w:rPr>
          <w:rFonts w:cs="Times New Roman"/>
        </w:rPr>
        <w:t>KJ/m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>；</w:t>
      </w:r>
    </w:p>
    <w:p w:rsidR="00FE6128" w:rsidRDefault="00FE6128" w:rsidP="00FE6128">
      <w:pPr>
        <w:ind w:leftChars="200" w:left="1280" w:hangingChars="200" w:hanging="640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拉伸强度：</w:t>
      </w:r>
      <w:r>
        <w:rPr>
          <w:rFonts w:hint="eastAsia"/>
          <w:color w:val="000000" w:themeColor="text1"/>
        </w:rPr>
        <w:t>≥</w:t>
      </w:r>
      <w:r>
        <w:rPr>
          <w:rFonts w:cs="Times New Roman"/>
        </w:rPr>
        <w:t>70MPa</w:t>
      </w:r>
      <w:r>
        <w:rPr>
          <w:rFonts w:cs="Times New Roman"/>
        </w:rPr>
        <w:t>；</w:t>
      </w:r>
    </w:p>
    <w:p w:rsidR="00FE6128" w:rsidRDefault="00FE6128" w:rsidP="00FE6128">
      <w:pPr>
        <w:ind w:firstLine="640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弯曲模量：</w:t>
      </w:r>
      <w:r>
        <w:rPr>
          <w:rFonts w:hint="eastAsia"/>
          <w:color w:val="000000" w:themeColor="text1"/>
        </w:rPr>
        <w:t>≥</w:t>
      </w:r>
      <w:r>
        <w:rPr>
          <w:rFonts w:cs="Times New Roman"/>
          <w:color w:val="000000" w:themeColor="text1"/>
          <w:kern w:val="0"/>
        </w:rPr>
        <w:t>4500</w:t>
      </w:r>
      <w:r>
        <w:rPr>
          <w:rFonts w:cs="Times New Roman"/>
        </w:rPr>
        <w:t>MPa</w:t>
      </w:r>
      <w:r>
        <w:rPr>
          <w:rFonts w:cs="Times New Roman"/>
        </w:rPr>
        <w:t>；</w:t>
      </w:r>
    </w:p>
    <w:p w:rsidR="00FE6128" w:rsidRDefault="00FE6128" w:rsidP="00FE6128">
      <w:pPr>
        <w:ind w:firstLine="640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介电常数：</w:t>
      </w:r>
      <w:r>
        <w:rPr>
          <w:rFonts w:hint="eastAsia"/>
        </w:rPr>
        <w:t>≤</w:t>
      </w:r>
      <w:r>
        <w:rPr>
          <w:rFonts w:cs="Times New Roman"/>
        </w:rPr>
        <w:t>2.6</w:t>
      </w:r>
      <w:r>
        <w:rPr>
          <w:rFonts w:cs="Times New Roman"/>
        </w:rPr>
        <w:t>；</w:t>
      </w:r>
    </w:p>
    <w:p w:rsidR="00FE6128" w:rsidRDefault="00FE6128" w:rsidP="00FE6128">
      <w:pPr>
        <w:ind w:firstLine="640"/>
        <w:rPr>
          <w:rFonts w:eastAsia="仿宋"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介电损耗角正切：</w:t>
      </w:r>
      <w:r>
        <w:rPr>
          <w:rFonts w:hint="eastAsia"/>
        </w:rPr>
        <w:t>≤</w:t>
      </w:r>
      <w:r>
        <w:rPr>
          <w:rFonts w:eastAsia="仿宋" w:cs="Times New Roman"/>
        </w:rPr>
        <w:t>0.0006</w:t>
      </w:r>
      <w:r>
        <w:rPr>
          <w:rFonts w:eastAsia="仿宋" w:cs="Times New Roman" w:hint="eastAsia"/>
        </w:rPr>
        <w:t>。</w:t>
      </w:r>
    </w:p>
    <w:p w:rsidR="00FE6128" w:rsidRDefault="00FE6128" w:rsidP="00FE6128">
      <w:pPr>
        <w:ind w:firstLineChars="50" w:firstLine="160"/>
        <w:rPr>
          <w:rFonts w:cs="Times New Roman"/>
        </w:rPr>
      </w:pPr>
      <w:r>
        <w:rPr>
          <w:rFonts w:cs="Times New Roman"/>
        </w:rPr>
        <w:t>四、项目实施期限：</w:t>
      </w:r>
      <w:r>
        <w:rPr>
          <w:rFonts w:cs="Times New Roman"/>
        </w:rPr>
        <w:t>3</w:t>
      </w:r>
      <w:r>
        <w:rPr>
          <w:rFonts w:cs="Times New Roman"/>
        </w:rPr>
        <w:t>年。</w:t>
      </w:r>
    </w:p>
    <w:p w:rsidR="003F2285" w:rsidRDefault="00FE6128" w:rsidP="00FE6128">
      <w:pPr>
        <w:ind w:firstLine="640"/>
      </w:pPr>
      <w:r>
        <w:rPr>
          <w:rFonts w:cs="Times New Roman"/>
        </w:rPr>
        <w:t>五、资助资金：不超过</w:t>
      </w:r>
      <w:r>
        <w:rPr>
          <w:rFonts w:cs="Times New Roman"/>
        </w:rPr>
        <w:t>1000</w:t>
      </w:r>
      <w:r>
        <w:rPr>
          <w:rFonts w:cs="Times New Roman"/>
        </w:rPr>
        <w:t>万元。</w:t>
      </w:r>
    </w:p>
    <w:sectPr w:rsidR="003F22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28"/>
    <w:rsid w:val="003F2285"/>
    <w:rsid w:val="00FE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28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许勤</dc:creator>
  <cp:lastModifiedBy>许勤</cp:lastModifiedBy>
  <cp:revision>1</cp:revision>
  <dcterms:created xsi:type="dcterms:W3CDTF">2019-01-14T09:42:00Z</dcterms:created>
  <dcterms:modified xsi:type="dcterms:W3CDTF">2019-01-14T09:43:00Z</dcterms:modified>
</cp:coreProperties>
</file>