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37" w:rsidRDefault="00F61E37" w:rsidP="00F61E37">
      <w:pPr>
        <w:ind w:firstLineChars="0" w:firstLine="0"/>
        <w:jc w:val="center"/>
        <w:rPr>
          <w:rFonts w:eastAsia="方正小标宋简体" w:cs="Times New Roman" w:hint="eastAsia"/>
          <w:color w:val="000000" w:themeColor="text1"/>
          <w:kern w:val="0"/>
          <w:sz w:val="44"/>
          <w:szCs w:val="44"/>
        </w:rPr>
      </w:pPr>
      <w:r>
        <w:rPr>
          <w:rFonts w:eastAsia="方正小标宋简体" w:cs="Times New Roman"/>
          <w:color w:val="000000" w:themeColor="text1"/>
          <w:kern w:val="0"/>
          <w:sz w:val="44"/>
          <w:szCs w:val="44"/>
        </w:rPr>
        <w:t>重</w:t>
      </w:r>
      <w:r>
        <w:rPr>
          <w:rFonts w:eastAsia="方正小标宋简体" w:cs="Times New Roman"/>
          <w:color w:val="000000" w:themeColor="text1"/>
          <w:kern w:val="0"/>
          <w:sz w:val="44"/>
          <w:szCs w:val="44"/>
        </w:rPr>
        <w:t xml:space="preserve">2019N009 </w:t>
      </w:r>
      <w:r>
        <w:rPr>
          <w:rFonts w:eastAsia="方正小标宋简体" w:cs="Times New Roman"/>
          <w:color w:val="000000" w:themeColor="text1"/>
          <w:kern w:val="0"/>
          <w:sz w:val="44"/>
          <w:szCs w:val="44"/>
        </w:rPr>
        <w:t>复方双氯芬酸钠米索前列</w:t>
      </w:r>
      <w:proofErr w:type="gramStart"/>
      <w:r>
        <w:rPr>
          <w:rFonts w:eastAsia="方正小标宋简体" w:cs="Times New Roman"/>
          <w:color w:val="000000" w:themeColor="text1"/>
          <w:kern w:val="0"/>
          <w:sz w:val="44"/>
          <w:szCs w:val="44"/>
        </w:rPr>
        <w:t>醇</w:t>
      </w:r>
      <w:proofErr w:type="gramEnd"/>
      <w:r>
        <w:rPr>
          <w:rFonts w:eastAsia="方正小标宋简体" w:cs="Times New Roman"/>
          <w:color w:val="000000" w:themeColor="text1"/>
          <w:kern w:val="0"/>
          <w:sz w:val="44"/>
          <w:szCs w:val="44"/>
        </w:rPr>
        <w:t>缓释片的研发</w:t>
      </w:r>
    </w:p>
    <w:p w:rsidR="00F61E37" w:rsidRDefault="00F61E37" w:rsidP="00F61E37">
      <w:pPr>
        <w:ind w:firstLineChars="0" w:firstLine="0"/>
        <w:jc w:val="center"/>
        <w:rPr>
          <w:rFonts w:eastAsia="方正小标宋简体" w:cs="Times New Roman"/>
          <w:color w:val="000000" w:themeColor="text1"/>
          <w:sz w:val="44"/>
          <w:szCs w:val="44"/>
        </w:rPr>
      </w:pPr>
      <w:bookmarkStart w:id="0" w:name="_GoBack"/>
      <w:bookmarkEnd w:id="0"/>
    </w:p>
    <w:p w:rsidR="00F61E37" w:rsidRDefault="00F61E37" w:rsidP="00F61E37">
      <w:pPr>
        <w:ind w:firstLineChars="0" w:firstLine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一、领域：生物与新医药技术</w:t>
      </w:r>
      <w:r>
        <w:rPr>
          <w:rFonts w:cs="Times New Roman"/>
          <w:color w:val="000000" w:themeColor="text1"/>
        </w:rPr>
        <w:t>—</w:t>
      </w:r>
      <w:r>
        <w:rPr>
          <w:rFonts w:cs="Times New Roman"/>
          <w:color w:val="000000" w:themeColor="text1"/>
        </w:rPr>
        <w:t>化学药</w:t>
      </w:r>
    </w:p>
    <w:p w:rsidR="00F61E37" w:rsidRDefault="00F61E37" w:rsidP="00F61E37">
      <w:pPr>
        <w:ind w:firstLineChars="0" w:firstLine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二、主要研发内容：</w:t>
      </w:r>
    </w:p>
    <w:p w:rsidR="00F61E37" w:rsidRDefault="00F61E37" w:rsidP="00F61E37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（一）研究米索前列</w:t>
      </w:r>
      <w:proofErr w:type="gramStart"/>
      <w:r>
        <w:rPr>
          <w:rFonts w:cs="Times New Roman"/>
          <w:color w:val="000000" w:themeColor="text1"/>
        </w:rPr>
        <w:t>醇</w:t>
      </w:r>
      <w:proofErr w:type="gramEnd"/>
      <w:r>
        <w:rPr>
          <w:rFonts w:cs="Times New Roman"/>
          <w:color w:val="000000" w:themeColor="text1"/>
        </w:rPr>
        <w:t>原料药合成工艺；</w:t>
      </w:r>
    </w:p>
    <w:p w:rsidR="00F61E37" w:rsidRDefault="00F61E37" w:rsidP="00F61E37">
      <w:pPr>
        <w:ind w:leftChars="50" w:left="1120" w:hangingChars="300" w:hanging="9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（二）研究复方双氯芬酸钠米索前列</w:t>
      </w:r>
      <w:proofErr w:type="gramStart"/>
      <w:r>
        <w:rPr>
          <w:rFonts w:cs="Times New Roman"/>
          <w:color w:val="000000" w:themeColor="text1"/>
        </w:rPr>
        <w:t>醇</w:t>
      </w:r>
      <w:proofErr w:type="gramEnd"/>
      <w:r>
        <w:rPr>
          <w:rFonts w:cs="Times New Roman"/>
          <w:color w:val="000000" w:themeColor="text1"/>
        </w:rPr>
        <w:t>缓释片制剂处方及制剂工艺；</w:t>
      </w:r>
    </w:p>
    <w:p w:rsidR="00F61E37" w:rsidRDefault="00F61E37" w:rsidP="00F61E37">
      <w:pPr>
        <w:ind w:leftChars="50" w:left="1120" w:hangingChars="300" w:hanging="9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（三）研发缓释制剂</w:t>
      </w:r>
      <w:proofErr w:type="gramStart"/>
      <w:r>
        <w:rPr>
          <w:rFonts w:cs="Times New Roman" w:hint="eastAsia"/>
          <w:color w:val="000000" w:themeColor="text1"/>
        </w:rPr>
        <w:t>膜控肠</w:t>
      </w:r>
      <w:proofErr w:type="gramEnd"/>
      <w:r>
        <w:rPr>
          <w:rFonts w:cs="Times New Roman" w:hint="eastAsia"/>
          <w:color w:val="000000" w:themeColor="text1"/>
        </w:rPr>
        <w:t>溶缓释技术</w:t>
      </w:r>
      <w:r>
        <w:rPr>
          <w:rFonts w:cs="Times New Roman"/>
          <w:color w:val="000000" w:themeColor="text1"/>
        </w:rPr>
        <w:t>。</w:t>
      </w:r>
    </w:p>
    <w:p w:rsidR="00F61E37" w:rsidRDefault="00F61E37" w:rsidP="00F61E37">
      <w:pPr>
        <w:ind w:firstLineChars="0" w:firstLine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三、项目考核指标（项目执行期内）</w:t>
      </w:r>
    </w:p>
    <w:p w:rsidR="00F61E37" w:rsidRDefault="00F61E37" w:rsidP="00F61E37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（一）学术指标：</w:t>
      </w:r>
    </w:p>
    <w:p w:rsidR="00F61E37" w:rsidRDefault="00F61E37" w:rsidP="00F61E37">
      <w:pPr>
        <w:ind w:firstLine="6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1.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申请发明专利</w:t>
      </w:r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</w:rPr>
        <w:t>2</w:t>
      </w:r>
      <w:r>
        <w:rPr>
          <w:rFonts w:cs="Times New Roman"/>
          <w:color w:val="000000" w:themeColor="text1"/>
        </w:rPr>
        <w:t>项；</w:t>
      </w:r>
    </w:p>
    <w:p w:rsidR="00F61E37" w:rsidRDefault="00F61E37" w:rsidP="00F61E37">
      <w:pPr>
        <w:ind w:leftChars="200" w:left="1120" w:hangingChars="150" w:hanging="48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2.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完成米索前列</w:t>
      </w:r>
      <w:proofErr w:type="gramStart"/>
      <w:r>
        <w:rPr>
          <w:rFonts w:cs="Times New Roman"/>
          <w:color w:val="000000" w:themeColor="text1"/>
        </w:rPr>
        <w:t>醇</w:t>
      </w:r>
      <w:proofErr w:type="gramEnd"/>
      <w:r>
        <w:rPr>
          <w:rFonts w:cs="Times New Roman"/>
          <w:color w:val="000000" w:themeColor="text1"/>
        </w:rPr>
        <w:t>原料药的国家药监局药品审评中心备案；</w:t>
      </w:r>
    </w:p>
    <w:p w:rsidR="00F61E37" w:rsidRDefault="00F61E37" w:rsidP="00F61E37">
      <w:pPr>
        <w:ind w:leftChars="200" w:left="960" w:hangingChars="100" w:hanging="3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完成双氯芬酸钠米索前列</w:t>
      </w:r>
      <w:proofErr w:type="gramStart"/>
      <w:r>
        <w:rPr>
          <w:rFonts w:cs="Times New Roman"/>
          <w:color w:val="000000" w:themeColor="text1"/>
        </w:rPr>
        <w:t>醇</w:t>
      </w:r>
      <w:proofErr w:type="gramEnd"/>
      <w:r>
        <w:rPr>
          <w:rFonts w:cs="Times New Roman"/>
          <w:color w:val="000000" w:themeColor="text1"/>
        </w:rPr>
        <w:t>缓释</w:t>
      </w:r>
      <w:proofErr w:type="gramStart"/>
      <w:r>
        <w:rPr>
          <w:rFonts w:cs="Times New Roman"/>
          <w:color w:val="000000" w:themeColor="text1"/>
        </w:rPr>
        <w:t>片注册</w:t>
      </w:r>
      <w:proofErr w:type="gramEnd"/>
      <w:r>
        <w:rPr>
          <w:rFonts w:cs="Times New Roman"/>
          <w:color w:val="000000" w:themeColor="text1"/>
        </w:rPr>
        <w:t>申请</w:t>
      </w:r>
      <w:r>
        <w:rPr>
          <w:rFonts w:cs="Times New Roman"/>
          <w:color w:val="000000" w:themeColor="text1"/>
        </w:rPr>
        <w:t>1</w:t>
      </w:r>
      <w:r>
        <w:rPr>
          <w:rFonts w:cs="Times New Roman"/>
          <w:color w:val="000000" w:themeColor="text1"/>
        </w:rPr>
        <w:t>项。</w:t>
      </w:r>
    </w:p>
    <w:p w:rsidR="00F61E37" w:rsidRDefault="00F61E37" w:rsidP="00F61E37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（二）技术指标：</w:t>
      </w:r>
    </w:p>
    <w:p w:rsidR="00F61E37" w:rsidRDefault="00F61E37" w:rsidP="00F61E37">
      <w:pPr>
        <w:ind w:leftChars="200" w:left="1120" w:hangingChars="150" w:hanging="48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1.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双氯酚酸钠和米索前列醇的放行含量为标示量的</w:t>
      </w:r>
      <w:r>
        <w:rPr>
          <w:rFonts w:cs="Times New Roman"/>
          <w:color w:val="000000" w:themeColor="text1"/>
        </w:rPr>
        <w:t>90.0%-110.0%</w:t>
      </w:r>
      <w:r>
        <w:rPr>
          <w:rFonts w:cs="Times New Roman"/>
          <w:color w:val="000000" w:themeColor="text1"/>
        </w:rPr>
        <w:t>；</w:t>
      </w:r>
    </w:p>
    <w:p w:rsidR="00F61E37" w:rsidRDefault="00F61E37" w:rsidP="00F61E37">
      <w:pPr>
        <w:ind w:leftChars="200" w:left="1120" w:hangingChars="150" w:hanging="48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2.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米索前列</w:t>
      </w:r>
      <w:proofErr w:type="gramStart"/>
      <w:r>
        <w:rPr>
          <w:rFonts w:cs="Times New Roman" w:hint="eastAsia"/>
          <w:color w:val="000000" w:themeColor="text1"/>
        </w:rPr>
        <w:t>醇</w:t>
      </w:r>
      <w:proofErr w:type="gramEnd"/>
      <w:r>
        <w:rPr>
          <w:rFonts w:cs="Times New Roman" w:hint="eastAsia"/>
          <w:color w:val="000000" w:themeColor="text1"/>
        </w:rPr>
        <w:t>有关物质放行指标：</w:t>
      </w:r>
      <w:r>
        <w:rPr>
          <w:rFonts w:cs="Times New Roman" w:hint="eastAsia"/>
          <w:color w:val="000000" w:themeColor="text1"/>
        </w:rPr>
        <w:t>8-EPI-</w:t>
      </w:r>
      <w:r>
        <w:rPr>
          <w:rFonts w:cs="Times New Roman" w:hint="eastAsia"/>
          <w:color w:val="000000" w:themeColor="text1"/>
        </w:rPr>
        <w:t>米索前列</w:t>
      </w:r>
      <w:proofErr w:type="gramStart"/>
      <w:r>
        <w:rPr>
          <w:rFonts w:cs="Times New Roman" w:hint="eastAsia"/>
          <w:color w:val="000000" w:themeColor="text1"/>
        </w:rPr>
        <w:t>醇</w:t>
      </w:r>
      <w:proofErr w:type="gramEnd"/>
      <w:r>
        <w:rPr>
          <w:rFonts w:cs="Times New Roman" w:hint="eastAsia"/>
          <w:color w:val="000000" w:themeColor="text1"/>
        </w:rPr>
        <w:t>不得过</w:t>
      </w:r>
      <w:r>
        <w:rPr>
          <w:rFonts w:cs="Times New Roman" w:hint="eastAsia"/>
          <w:color w:val="000000" w:themeColor="text1"/>
        </w:rPr>
        <w:t>2.0%</w:t>
      </w:r>
      <w:r>
        <w:rPr>
          <w:rFonts w:cs="Times New Roman" w:hint="eastAsia"/>
          <w:color w:val="000000" w:themeColor="text1"/>
        </w:rPr>
        <w:t>，米索前列</w:t>
      </w:r>
      <w:proofErr w:type="gramStart"/>
      <w:r>
        <w:rPr>
          <w:rFonts w:cs="Times New Roman" w:hint="eastAsia"/>
          <w:color w:val="000000" w:themeColor="text1"/>
        </w:rPr>
        <w:t>醇</w:t>
      </w:r>
      <w:proofErr w:type="gramEnd"/>
      <w:r>
        <w:rPr>
          <w:rFonts w:cs="Times New Roman" w:hint="eastAsia"/>
          <w:color w:val="000000" w:themeColor="text1"/>
        </w:rPr>
        <w:t>杂质</w:t>
      </w:r>
      <w:r>
        <w:rPr>
          <w:rFonts w:cs="Times New Roman" w:hint="eastAsia"/>
          <w:color w:val="000000" w:themeColor="text1"/>
        </w:rPr>
        <w:t>A</w:t>
      </w:r>
      <w:r>
        <w:rPr>
          <w:rFonts w:cs="Times New Roman" w:hint="eastAsia"/>
          <w:color w:val="000000" w:themeColor="text1"/>
        </w:rPr>
        <w:t>不得过</w:t>
      </w:r>
      <w:r>
        <w:rPr>
          <w:rFonts w:cs="Times New Roman" w:hint="eastAsia"/>
          <w:color w:val="000000" w:themeColor="text1"/>
        </w:rPr>
        <w:t>0.5%</w:t>
      </w:r>
      <w:r>
        <w:rPr>
          <w:rFonts w:cs="Times New Roman" w:hint="eastAsia"/>
          <w:color w:val="000000" w:themeColor="text1"/>
        </w:rPr>
        <w:t>，米索前列</w:t>
      </w:r>
      <w:proofErr w:type="gramStart"/>
      <w:r>
        <w:rPr>
          <w:rFonts w:cs="Times New Roman" w:hint="eastAsia"/>
          <w:color w:val="000000" w:themeColor="text1"/>
        </w:rPr>
        <w:t>醇</w:t>
      </w:r>
      <w:proofErr w:type="gramEnd"/>
      <w:r>
        <w:rPr>
          <w:rFonts w:cs="Times New Roman" w:hint="eastAsia"/>
          <w:color w:val="000000" w:themeColor="text1"/>
        </w:rPr>
        <w:t>杂质</w:t>
      </w:r>
      <w:r>
        <w:rPr>
          <w:rFonts w:cs="Times New Roman" w:hint="eastAsia"/>
          <w:color w:val="000000" w:themeColor="text1"/>
        </w:rPr>
        <w:t>B</w:t>
      </w:r>
      <w:r>
        <w:rPr>
          <w:rFonts w:cs="Times New Roman" w:hint="eastAsia"/>
          <w:color w:val="000000" w:themeColor="text1"/>
        </w:rPr>
        <w:t>不得过</w:t>
      </w:r>
      <w:r>
        <w:rPr>
          <w:rFonts w:cs="Times New Roman" w:hint="eastAsia"/>
          <w:color w:val="000000" w:themeColor="text1"/>
        </w:rPr>
        <w:t>1%</w:t>
      </w:r>
      <w:r>
        <w:rPr>
          <w:rFonts w:cs="Times New Roman" w:hint="eastAsia"/>
          <w:color w:val="000000" w:themeColor="text1"/>
        </w:rPr>
        <w:t>，其他未知杂质不得过</w:t>
      </w:r>
      <w:r>
        <w:rPr>
          <w:rFonts w:cs="Times New Roman" w:hint="eastAsia"/>
          <w:color w:val="000000" w:themeColor="text1"/>
        </w:rPr>
        <w:t>0.6%</w:t>
      </w:r>
      <w:r>
        <w:rPr>
          <w:rFonts w:cs="Times New Roman"/>
          <w:color w:val="000000" w:themeColor="text1"/>
        </w:rPr>
        <w:t>；</w:t>
      </w:r>
    </w:p>
    <w:p w:rsidR="00F61E37" w:rsidRDefault="00F61E37" w:rsidP="00F61E37">
      <w:pPr>
        <w:ind w:leftChars="200" w:left="1120" w:hangingChars="150" w:hanging="48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双氯酚酸钠有关物质放行指标：已知杂质不得大于</w:t>
      </w:r>
      <w:r>
        <w:rPr>
          <w:rFonts w:cs="Times New Roman"/>
          <w:color w:val="000000" w:themeColor="text1"/>
        </w:rPr>
        <w:t>0.5%</w:t>
      </w:r>
      <w:r>
        <w:rPr>
          <w:rFonts w:cs="Times New Roman"/>
          <w:color w:val="000000" w:themeColor="text1"/>
        </w:rPr>
        <w:t>，未知杂质不得大于</w:t>
      </w:r>
      <w:r>
        <w:rPr>
          <w:rFonts w:cs="Times New Roman"/>
          <w:color w:val="000000" w:themeColor="text1"/>
        </w:rPr>
        <w:t>0.2%</w:t>
      </w:r>
      <w:r>
        <w:rPr>
          <w:rFonts w:cs="Times New Roman"/>
          <w:color w:val="000000" w:themeColor="text1"/>
        </w:rPr>
        <w:t>，总杂质不得过</w:t>
      </w:r>
      <w:r>
        <w:rPr>
          <w:rFonts w:cs="Times New Roman"/>
          <w:color w:val="000000" w:themeColor="text1"/>
        </w:rPr>
        <w:t>2.0%</w:t>
      </w:r>
      <w:r>
        <w:rPr>
          <w:rFonts w:cs="Times New Roman"/>
          <w:color w:val="000000" w:themeColor="text1"/>
        </w:rPr>
        <w:t>；</w:t>
      </w:r>
    </w:p>
    <w:p w:rsidR="00F61E37" w:rsidRDefault="00F61E37" w:rsidP="00F61E37">
      <w:pPr>
        <w:ind w:leftChars="200" w:left="1120" w:hangingChars="150" w:hanging="480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4</w:t>
      </w:r>
      <w:r>
        <w:rPr>
          <w:rFonts w:cs="Times New Roman"/>
          <w:color w:val="000000" w:themeColor="text1"/>
        </w:rPr>
        <w:t>.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双氯酚酸钠和米索前列醇的水中溶出度放行指标：不</w:t>
      </w:r>
      <w:r>
        <w:rPr>
          <w:rFonts w:cs="Times New Roman" w:hint="eastAsia"/>
          <w:color w:val="000000" w:themeColor="text1"/>
        </w:rPr>
        <w:lastRenderedPageBreak/>
        <w:t>得低于达</w:t>
      </w:r>
      <w:r>
        <w:rPr>
          <w:rFonts w:cs="Times New Roman" w:hint="eastAsia"/>
          <w:color w:val="000000" w:themeColor="text1"/>
        </w:rPr>
        <w:t>75%</w:t>
      </w:r>
      <w:r>
        <w:rPr>
          <w:rFonts w:cs="Times New Roman"/>
          <w:color w:val="000000" w:themeColor="text1"/>
        </w:rPr>
        <w:t>；</w:t>
      </w:r>
    </w:p>
    <w:p w:rsidR="00F61E37" w:rsidRDefault="00F61E37" w:rsidP="00F61E37">
      <w:pPr>
        <w:ind w:leftChars="200" w:left="1120" w:hangingChars="150" w:hanging="480"/>
        <w:rPr>
          <w:rFonts w:cs="Times New Roman"/>
          <w:color w:val="000000" w:themeColor="text1"/>
          <w:szCs w:val="21"/>
        </w:rPr>
      </w:pPr>
      <w:r>
        <w:rPr>
          <w:rFonts w:cs="Times New Roman" w:hint="eastAsia"/>
          <w:color w:val="000000" w:themeColor="text1"/>
        </w:rPr>
        <w:t>5</w:t>
      </w:r>
      <w:r>
        <w:rPr>
          <w:rFonts w:cs="Times New Roman"/>
          <w:color w:val="000000" w:themeColor="text1"/>
        </w:rPr>
        <w:t>.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/>
          <w:color w:val="000000" w:themeColor="text1"/>
          <w:szCs w:val="21"/>
        </w:rPr>
        <w:t>自</w:t>
      </w:r>
      <w:proofErr w:type="gramStart"/>
      <w:r>
        <w:rPr>
          <w:rFonts w:cs="Times New Roman"/>
          <w:color w:val="000000" w:themeColor="text1"/>
          <w:szCs w:val="21"/>
        </w:rPr>
        <w:t>研</w:t>
      </w:r>
      <w:proofErr w:type="gramEnd"/>
      <w:r>
        <w:rPr>
          <w:rFonts w:cs="Times New Roman"/>
          <w:color w:val="000000" w:themeColor="text1"/>
          <w:szCs w:val="21"/>
        </w:rPr>
        <w:t>产品体外</w:t>
      </w:r>
      <w:proofErr w:type="gramStart"/>
      <w:r>
        <w:rPr>
          <w:rFonts w:cs="Times New Roman"/>
          <w:color w:val="000000" w:themeColor="text1"/>
          <w:szCs w:val="21"/>
        </w:rPr>
        <w:t>溶</w:t>
      </w:r>
      <w:proofErr w:type="gramEnd"/>
      <w:r>
        <w:rPr>
          <w:rFonts w:cs="Times New Roman"/>
          <w:color w:val="000000" w:themeColor="text1"/>
          <w:szCs w:val="21"/>
        </w:rPr>
        <w:t>出行为和四个介质中的溶出曲线与原研参比制剂一致，</w:t>
      </w:r>
      <w:r>
        <w:rPr>
          <w:rFonts w:cs="Times New Roman"/>
          <w:color w:val="000000" w:themeColor="text1"/>
          <w:szCs w:val="21"/>
        </w:rPr>
        <w:t>F2</w:t>
      </w:r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  <w:szCs w:val="21"/>
        </w:rPr>
        <w:t>60</w:t>
      </w:r>
      <w:r>
        <w:rPr>
          <w:rFonts w:cs="Times New Roman"/>
          <w:color w:val="000000" w:themeColor="text1"/>
          <w:szCs w:val="21"/>
        </w:rPr>
        <w:t>；</w:t>
      </w:r>
    </w:p>
    <w:p w:rsidR="00F61E37" w:rsidRDefault="00F61E37" w:rsidP="00F61E37">
      <w:pPr>
        <w:ind w:leftChars="200" w:left="1120" w:hangingChars="150" w:hanging="480"/>
        <w:rPr>
          <w:rFonts w:cs="Times New Roman"/>
          <w:color w:val="000000" w:themeColor="text1"/>
          <w:szCs w:val="21"/>
        </w:rPr>
      </w:pPr>
      <w:r>
        <w:rPr>
          <w:rFonts w:cs="Times New Roman" w:hint="eastAsia"/>
          <w:color w:val="000000" w:themeColor="text1"/>
          <w:szCs w:val="21"/>
        </w:rPr>
        <w:t>6</w:t>
      </w:r>
      <w:r>
        <w:rPr>
          <w:rFonts w:cs="Times New Roman"/>
          <w:color w:val="000000" w:themeColor="text1"/>
          <w:szCs w:val="21"/>
        </w:rPr>
        <w:t>.</w:t>
      </w:r>
      <w:r>
        <w:rPr>
          <w:rFonts w:cs="Times New Roman" w:hint="eastAsia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自</w:t>
      </w:r>
      <w:proofErr w:type="gramStart"/>
      <w:r>
        <w:rPr>
          <w:rFonts w:cs="Times New Roman"/>
          <w:color w:val="000000" w:themeColor="text1"/>
          <w:szCs w:val="21"/>
        </w:rPr>
        <w:t>研</w:t>
      </w:r>
      <w:proofErr w:type="gramEnd"/>
      <w:r>
        <w:rPr>
          <w:rFonts w:cs="Times New Roman"/>
          <w:color w:val="000000" w:themeColor="text1"/>
          <w:szCs w:val="21"/>
        </w:rPr>
        <w:t>缓释片体内和原研参比制剂等效，通过</w:t>
      </w:r>
      <w:r>
        <w:rPr>
          <w:rFonts w:cs="Times New Roman"/>
          <w:color w:val="000000" w:themeColor="text1"/>
          <w:szCs w:val="21"/>
        </w:rPr>
        <w:t>BE</w:t>
      </w:r>
      <w:r>
        <w:rPr>
          <w:rFonts w:cs="Times New Roman"/>
          <w:color w:val="000000" w:themeColor="text1"/>
          <w:szCs w:val="21"/>
        </w:rPr>
        <w:t>临床一致性评价；</w:t>
      </w:r>
    </w:p>
    <w:p w:rsidR="00F61E37" w:rsidRDefault="00F61E37" w:rsidP="00F61E37">
      <w:pPr>
        <w:ind w:leftChars="200" w:left="1120" w:hangingChars="150" w:hanging="480"/>
        <w:rPr>
          <w:rFonts w:cs="Times New Roman"/>
          <w:color w:val="000000" w:themeColor="text1"/>
          <w:szCs w:val="21"/>
        </w:rPr>
      </w:pPr>
      <w:r>
        <w:rPr>
          <w:rFonts w:cs="Times New Roman" w:hint="eastAsia"/>
          <w:color w:val="000000" w:themeColor="text1"/>
          <w:szCs w:val="21"/>
        </w:rPr>
        <w:t>7</w:t>
      </w:r>
      <w:r>
        <w:rPr>
          <w:rFonts w:cs="Times New Roman"/>
          <w:color w:val="000000" w:themeColor="text1"/>
          <w:szCs w:val="21"/>
        </w:rPr>
        <w:t>.</w:t>
      </w:r>
      <w:r>
        <w:rPr>
          <w:rFonts w:cs="Times New Roman" w:hint="eastAsia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自</w:t>
      </w:r>
      <w:proofErr w:type="gramStart"/>
      <w:r>
        <w:rPr>
          <w:rFonts w:cs="Times New Roman"/>
          <w:color w:val="000000" w:themeColor="text1"/>
          <w:szCs w:val="21"/>
        </w:rPr>
        <w:t>研</w:t>
      </w:r>
      <w:proofErr w:type="gramEnd"/>
      <w:r>
        <w:rPr>
          <w:rFonts w:cs="Times New Roman"/>
          <w:color w:val="000000" w:themeColor="text1"/>
          <w:szCs w:val="21"/>
        </w:rPr>
        <w:t>缓释片质量标准满足</w:t>
      </w:r>
      <w:r>
        <w:rPr>
          <w:rFonts w:cs="Times New Roman"/>
          <w:color w:val="000000" w:themeColor="text1"/>
          <w:szCs w:val="21"/>
        </w:rPr>
        <w:t>USP</w:t>
      </w:r>
      <w:r>
        <w:rPr>
          <w:rFonts w:cs="Times New Roman"/>
          <w:color w:val="000000" w:themeColor="text1"/>
          <w:szCs w:val="21"/>
        </w:rPr>
        <w:t>标准</w:t>
      </w:r>
      <w:r>
        <w:rPr>
          <w:rFonts w:cs="Times New Roman" w:hint="eastAsia"/>
          <w:color w:val="000000" w:themeColor="text1"/>
          <w:szCs w:val="21"/>
        </w:rPr>
        <w:t>。</w:t>
      </w:r>
    </w:p>
    <w:p w:rsidR="00F61E37" w:rsidRDefault="00F61E37" w:rsidP="00F61E37">
      <w:pPr>
        <w:ind w:firstLineChars="62" w:firstLine="19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四、项目实施期限：</w:t>
      </w:r>
      <w:r>
        <w:rPr>
          <w:rFonts w:cs="Times New Roman"/>
          <w:color w:val="000000" w:themeColor="text1"/>
        </w:rPr>
        <w:t>3</w:t>
      </w:r>
      <w:r>
        <w:rPr>
          <w:rFonts w:cs="Times New Roman"/>
          <w:color w:val="000000" w:themeColor="text1"/>
        </w:rPr>
        <w:t>年。</w:t>
      </w:r>
    </w:p>
    <w:p w:rsidR="00F61E37" w:rsidRDefault="00F61E37" w:rsidP="00F61E37">
      <w:pPr>
        <w:ind w:firstLineChars="62" w:firstLine="19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五、资助资金：不超过</w:t>
      </w:r>
      <w:r>
        <w:rPr>
          <w:rFonts w:cs="Times New Roman" w:hint="eastAsia"/>
          <w:color w:val="000000" w:themeColor="text1"/>
        </w:rPr>
        <w:t>10</w:t>
      </w:r>
      <w:r>
        <w:rPr>
          <w:rFonts w:cs="Times New Roman"/>
          <w:color w:val="000000" w:themeColor="text1"/>
        </w:rPr>
        <w:t>00</w:t>
      </w:r>
      <w:r>
        <w:rPr>
          <w:rFonts w:cs="Times New Roman"/>
          <w:color w:val="000000" w:themeColor="text1"/>
        </w:rPr>
        <w:t>万元。</w:t>
      </w:r>
    </w:p>
    <w:p w:rsidR="003F2285" w:rsidRPr="00F61E37" w:rsidRDefault="003F2285" w:rsidP="00F61E37">
      <w:pPr>
        <w:ind w:firstLine="640"/>
      </w:pPr>
    </w:p>
    <w:sectPr w:rsidR="003F2285" w:rsidRPr="00F61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37"/>
    <w:rsid w:val="003F2285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37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37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1</cp:revision>
  <dcterms:created xsi:type="dcterms:W3CDTF">2019-01-14T09:41:00Z</dcterms:created>
  <dcterms:modified xsi:type="dcterms:W3CDTF">2019-01-14T09:41:00Z</dcterms:modified>
</cp:coreProperties>
</file>